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082D1C">
      <w:pPr>
        <w:jc w:val="center"/>
      </w:pPr>
    </w:p>
    <w:p w:rsidR="006F47A6" w:rsidRDefault="006F47A6" w:rsidP="00082D1C">
      <w:pPr>
        <w:jc w:val="center"/>
      </w:pPr>
    </w:p>
    <w:p w:rsidR="006F47A6" w:rsidRDefault="006F47A6" w:rsidP="00082D1C">
      <w:pPr>
        <w:jc w:val="center"/>
      </w:pPr>
    </w:p>
    <w:p w:rsidR="006F47A6" w:rsidRPr="006F47A6" w:rsidRDefault="006F47A6" w:rsidP="00082D1C">
      <w:pPr>
        <w:jc w:val="center"/>
        <w:rPr>
          <w:b/>
        </w:rPr>
      </w:pPr>
    </w:p>
    <w:p w:rsidR="006F47A6" w:rsidRPr="006F47A6" w:rsidRDefault="008607E2" w:rsidP="00082D1C">
      <w:pPr>
        <w:jc w:val="center"/>
        <w:rPr>
          <w:b/>
        </w:rPr>
      </w:pPr>
      <w:r w:rsidRPr="006F47A6">
        <w:rPr>
          <w:b/>
        </w:rPr>
        <w:t>Advances In Biotechnology</w:t>
      </w:r>
    </w:p>
    <w:p w:rsidR="006F47A6" w:rsidRDefault="006F47A6" w:rsidP="00082D1C">
      <w:pPr>
        <w:jc w:val="center"/>
      </w:pPr>
    </w:p>
    <w:p w:rsidR="006F47A6" w:rsidRDefault="006F47A6" w:rsidP="00082D1C">
      <w:pPr>
        <w:jc w:val="center"/>
      </w:pPr>
    </w:p>
    <w:p w:rsidR="006F47A6" w:rsidRDefault="008607E2" w:rsidP="00082D1C">
      <w:pPr>
        <w:jc w:val="center"/>
      </w:pPr>
      <w:r>
        <w:t>Name</w:t>
      </w:r>
    </w:p>
    <w:p w:rsidR="006F47A6" w:rsidRDefault="008607E2" w:rsidP="00082D1C">
      <w:pPr>
        <w:jc w:val="center"/>
      </w:pPr>
      <w:r>
        <w:t>Affiliation</w:t>
      </w:r>
    </w:p>
    <w:p w:rsidR="006F47A6" w:rsidRDefault="008607E2" w:rsidP="00082D1C">
      <w:pPr>
        <w:jc w:val="center"/>
      </w:pPr>
      <w:r>
        <w:t>Date</w:t>
      </w:r>
    </w:p>
    <w:p w:rsidR="006F47A6" w:rsidRDefault="006F47A6" w:rsidP="00082D1C">
      <w:pPr>
        <w:jc w:val="center"/>
      </w:pPr>
    </w:p>
    <w:p w:rsidR="006F47A6" w:rsidRDefault="006F47A6" w:rsidP="00082D1C">
      <w:pPr>
        <w:jc w:val="center"/>
      </w:pPr>
    </w:p>
    <w:p w:rsidR="006F47A6" w:rsidRDefault="006F47A6" w:rsidP="00082D1C">
      <w:pPr>
        <w:jc w:val="center"/>
      </w:pPr>
    </w:p>
    <w:p w:rsidR="006F47A6" w:rsidRDefault="006F47A6" w:rsidP="00082D1C">
      <w:pPr>
        <w:jc w:val="center"/>
      </w:pPr>
    </w:p>
    <w:p w:rsidR="006F47A6" w:rsidRDefault="006F47A6" w:rsidP="00082D1C">
      <w:pPr>
        <w:jc w:val="center"/>
      </w:pPr>
    </w:p>
    <w:p w:rsidR="006F47A6" w:rsidRDefault="006F47A6" w:rsidP="00082D1C">
      <w:pPr>
        <w:jc w:val="center"/>
      </w:pPr>
    </w:p>
    <w:p w:rsidR="006F47A6" w:rsidRDefault="006F47A6" w:rsidP="00082D1C">
      <w:pPr>
        <w:jc w:val="center"/>
      </w:pPr>
    </w:p>
    <w:p w:rsidR="006F47A6" w:rsidRDefault="006F47A6" w:rsidP="00082D1C">
      <w:pPr>
        <w:jc w:val="center"/>
      </w:pPr>
    </w:p>
    <w:p w:rsidR="006F47A6" w:rsidRDefault="008607E2" w:rsidP="006F47A6">
      <w:pPr>
        <w:jc w:val="center"/>
        <w:rPr>
          <w:b/>
        </w:rPr>
      </w:pPr>
      <w:r w:rsidRPr="006F47A6">
        <w:rPr>
          <w:b/>
        </w:rPr>
        <w:t>Advances in Biotechnology</w:t>
      </w:r>
    </w:p>
    <w:p w:rsidR="006F47A6" w:rsidRDefault="008607E2" w:rsidP="006F47A6">
      <w:r>
        <w:rPr>
          <w:b/>
        </w:rPr>
        <w:lastRenderedPageBreak/>
        <w:tab/>
      </w:r>
      <w:r w:rsidR="000F166F">
        <w:t xml:space="preserve">Antibiotics </w:t>
      </w:r>
      <w:r w:rsidR="00867861">
        <w:t>medications</w:t>
      </w:r>
      <w:r w:rsidR="000F166F">
        <w:t xml:space="preserve"> are used to </w:t>
      </w:r>
      <w:r w:rsidR="00867861">
        <w:t>suppress</w:t>
      </w:r>
      <w:r w:rsidR="000F166F">
        <w:t xml:space="preserve"> ad kills bacteria that cause diseases and </w:t>
      </w:r>
      <w:r w:rsidR="00867861">
        <w:t>illness. The</w:t>
      </w:r>
      <w:r w:rsidR="000F166F">
        <w:t xml:space="preserve"> medicines have made an enormous contribution to human beings' </w:t>
      </w:r>
      <w:r w:rsidR="00867861">
        <w:t>health. However</w:t>
      </w:r>
      <w:r w:rsidR="000F166F">
        <w:t xml:space="preserve">, several bacteria have become resistant to the </w:t>
      </w:r>
      <w:r w:rsidR="00867861">
        <w:t>antibiotics. The</w:t>
      </w:r>
      <w:r w:rsidR="000F166F">
        <w:t xml:space="preserve"> drugs cannot kill or control the antibiotic-resistant bacteria. Multi-resistant organisms can multiply and survive even in the presence of </w:t>
      </w:r>
      <w:r w:rsidR="00867861">
        <w:t>antibiotics. Some</w:t>
      </w:r>
      <w:r w:rsidR="000F166F">
        <w:t xml:space="preserve"> example of these bacteria is staphylococcus and </w:t>
      </w:r>
      <w:r w:rsidR="00867861">
        <w:t>Neisseria</w:t>
      </w:r>
      <w:r w:rsidR="000F166F">
        <w:t xml:space="preserve"> gonorrhoae. There are several ways to </w:t>
      </w:r>
      <w:r w:rsidR="00867861">
        <w:t>prevent</w:t>
      </w:r>
      <w:r w:rsidR="000F166F">
        <w:t xml:space="preserve"> antibiotic resistance, such as completing prescribed antibiotics, thus reducing bacteria resistance. Patients should avoid overprescribing and unnecessary prescribing of antibiotics</w:t>
      </w:r>
      <w:r w:rsidR="00D54F00">
        <w:t>.</w:t>
      </w:r>
      <w:r w:rsidR="00867861">
        <w:t xml:space="preserve"> Peo</w:t>
      </w:r>
      <w:r w:rsidR="00D54F00">
        <w:t xml:space="preserve">ple should also use effective infection control practices and good </w:t>
      </w:r>
      <w:r w:rsidR="00867861">
        <w:t>hygiene. Antibiotics</w:t>
      </w:r>
      <w:r w:rsidR="00D54F00">
        <w:t xml:space="preserve"> bacteria can be transmitted from one person to another. Thus, there is a need to prevent </w:t>
      </w:r>
      <w:r w:rsidR="00867861">
        <w:t>the</w:t>
      </w:r>
      <w:r w:rsidR="00D54F00">
        <w:t xml:space="preserve"> </w:t>
      </w:r>
      <w:r w:rsidR="00867861">
        <w:t>transmission. Several</w:t>
      </w:r>
      <w:r w:rsidR="00D54F00">
        <w:t xml:space="preserve"> ways to avoid such infection include changing nappies and washing hands before having </w:t>
      </w:r>
      <w:r w:rsidR="00867861">
        <w:t>meals. Individuals</w:t>
      </w:r>
      <w:r w:rsidR="00D54F00">
        <w:t xml:space="preserve"> should cover their mouths when sneezing or coughing</w:t>
      </w:r>
      <w:r w:rsidR="00FD1F84">
        <w:t xml:space="preserve"> </w:t>
      </w:r>
      <w:r w:rsidR="00FD1F84" w:rsidRPr="00FD1F84">
        <w:rPr>
          <w:rFonts w:cs="Times New Roman"/>
          <w:szCs w:val="24"/>
          <w:shd w:val="clear" w:color="auto" w:fill="FFFFFF"/>
        </w:rPr>
        <w:t>(Panáček et al., 2017)</w:t>
      </w:r>
      <w:r w:rsidR="00D54F00" w:rsidRPr="00FD1F84">
        <w:rPr>
          <w:rFonts w:cs="Times New Roman"/>
          <w:szCs w:val="24"/>
        </w:rPr>
        <w:t>.</w:t>
      </w:r>
    </w:p>
    <w:p w:rsidR="00D54F00" w:rsidRDefault="008607E2" w:rsidP="006F47A6">
      <w:pPr>
        <w:rPr>
          <w:rFonts w:cs="Times New Roman"/>
          <w:szCs w:val="24"/>
        </w:rPr>
      </w:pPr>
      <w:r>
        <w:tab/>
        <w:t>R</w:t>
      </w:r>
      <w:r w:rsidR="00867861">
        <w:t>at</w:t>
      </w:r>
      <w:r>
        <w:t xml:space="preserve"> infestations in previous days were controlled by poison and </w:t>
      </w:r>
      <w:r w:rsidR="00867861">
        <w:t>traps. However</w:t>
      </w:r>
      <w:r>
        <w:t xml:space="preserve">, due to </w:t>
      </w:r>
      <w:r w:rsidR="001E69DF">
        <w:t xml:space="preserve">wide poisoning, some of the rats have developed immunity to poison. In most cases, the poison pellets are being eaten by those creatures looking for </w:t>
      </w:r>
      <w:r w:rsidR="00867861">
        <w:t>food. There</w:t>
      </w:r>
      <w:r w:rsidR="001E69DF">
        <w:t xml:space="preserve"> are several exterminating methods, such as the use of baiting methods and new </w:t>
      </w:r>
      <w:r w:rsidR="00867861">
        <w:t>traps. Also</w:t>
      </w:r>
      <w:r w:rsidR="00FC6244">
        <w:t xml:space="preserve">, people should eliminate food and water from rat </w:t>
      </w:r>
      <w:r w:rsidR="00867861">
        <w:t>premises. Pet</w:t>
      </w:r>
      <w:r w:rsidR="00FC6244">
        <w:t xml:space="preserve"> food should be stored in metal </w:t>
      </w:r>
      <w:r w:rsidR="00867861">
        <w:t>containers. The</w:t>
      </w:r>
      <w:r w:rsidR="00FC6244">
        <w:t xml:space="preserve"> second method is eliminating harborage and their </w:t>
      </w:r>
      <w:r w:rsidR="00867861">
        <w:t>shelter. People</w:t>
      </w:r>
      <w:r w:rsidR="00FC6244">
        <w:t xml:space="preserve"> should repair their broken vent </w:t>
      </w:r>
      <w:r w:rsidR="00867861">
        <w:t>screen. Rats</w:t>
      </w:r>
      <w:r w:rsidR="00FC6244">
        <w:t xml:space="preserve"> shoul</w:t>
      </w:r>
      <w:r w:rsidR="00867861">
        <w:t>d be trapped and destroyed. People</w:t>
      </w:r>
      <w:r w:rsidR="00FC6244">
        <w:t xml:space="preserve"> should place traps in rats' nesting </w:t>
      </w:r>
      <w:r w:rsidR="00867861">
        <w:t>areas. Since</w:t>
      </w:r>
      <w:r w:rsidR="00FC6244">
        <w:t xml:space="preserve"> these rats are immune to poison, people should use baits and follow the stated guidelines. Besides, Heavy vegetation surrounding homes should be removed from the fences and </w:t>
      </w:r>
      <w:r w:rsidR="00867861">
        <w:t xml:space="preserve">buildings. The trash cans should be closed at any time. People should clean up pet feces and control snails in areas prone to snails since they are rats' preferred food. Lastly, individuals should trim vines, bushes, and trees at least 3 meters away from the </w:t>
      </w:r>
      <w:r w:rsidR="00867861" w:rsidRPr="00FD1F84">
        <w:rPr>
          <w:rFonts w:cs="Times New Roman"/>
          <w:szCs w:val="24"/>
        </w:rPr>
        <w:t>building</w:t>
      </w:r>
      <w:r w:rsidR="00FD1F84" w:rsidRPr="00FD1F84">
        <w:rPr>
          <w:rFonts w:cs="Times New Roman"/>
          <w:szCs w:val="24"/>
        </w:rPr>
        <w:t xml:space="preserve"> </w:t>
      </w:r>
      <w:r w:rsidR="00FD1F84" w:rsidRPr="00FD1F84">
        <w:rPr>
          <w:rFonts w:cs="Times New Roman"/>
          <w:szCs w:val="24"/>
          <w:shd w:val="clear" w:color="auto" w:fill="FFFFFF"/>
        </w:rPr>
        <w:t>(Pelz &amp; Prescott, 2015)</w:t>
      </w:r>
      <w:r w:rsidR="00867861" w:rsidRPr="00FD1F84">
        <w:rPr>
          <w:rFonts w:cs="Times New Roman"/>
          <w:szCs w:val="24"/>
        </w:rPr>
        <w:t>.</w:t>
      </w: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Default="00FD1F84" w:rsidP="006F47A6">
      <w:pPr>
        <w:rPr>
          <w:rFonts w:cs="Times New Roman"/>
          <w:szCs w:val="24"/>
        </w:rPr>
      </w:pPr>
    </w:p>
    <w:p w:rsidR="00FD1F84" w:rsidRPr="00FD1F84" w:rsidRDefault="00FD1F84" w:rsidP="00FD1F84">
      <w:pPr>
        <w:shd w:val="clear" w:color="auto" w:fill="FFFFFF"/>
        <w:spacing w:after="0" w:line="240" w:lineRule="auto"/>
        <w:jc w:val="center"/>
        <w:rPr>
          <w:rFonts w:eastAsia="Times New Roman" w:cs="Times New Roman"/>
          <w:szCs w:val="24"/>
        </w:rPr>
      </w:pPr>
      <w:r w:rsidRPr="00FD1F84">
        <w:rPr>
          <w:rFonts w:eastAsia="Times New Roman" w:cs="Times New Roman"/>
          <w:szCs w:val="24"/>
        </w:rPr>
        <w:t>References</w:t>
      </w:r>
    </w:p>
    <w:p w:rsidR="00FD1F84" w:rsidRPr="00FD1F84" w:rsidRDefault="00FD1F84" w:rsidP="00FD1F84">
      <w:pPr>
        <w:shd w:val="clear" w:color="auto" w:fill="FFFFFF"/>
        <w:spacing w:after="0" w:line="550" w:lineRule="atLeast"/>
        <w:ind w:left="720" w:right="75" w:hanging="720"/>
        <w:rPr>
          <w:rFonts w:eastAsia="Times New Roman" w:cs="Times New Roman"/>
          <w:szCs w:val="24"/>
        </w:rPr>
      </w:pPr>
      <w:r w:rsidRPr="00FD1F84">
        <w:rPr>
          <w:rFonts w:eastAsia="Times New Roman" w:cs="Times New Roman"/>
          <w:szCs w:val="24"/>
        </w:rPr>
        <w:t>Panáček, A., Kvítek, L., Smékalová, M., Večeřová, R., Kolář, M., Röderová, M., Dyčka, F., Šebela, M., Prucek, R., Tomanec, O., &amp; Zbořil, R. (2017). Bacterial resistance to silver nanoparticles and how to overcome it. </w:t>
      </w:r>
      <w:r w:rsidRPr="00FD1F84">
        <w:rPr>
          <w:rFonts w:eastAsia="Times New Roman" w:cs="Times New Roman"/>
          <w:i/>
          <w:iCs/>
          <w:szCs w:val="24"/>
        </w:rPr>
        <w:t>Nature Nanotechnology</w:t>
      </w:r>
      <w:r w:rsidRPr="00FD1F84">
        <w:rPr>
          <w:rFonts w:eastAsia="Times New Roman" w:cs="Times New Roman"/>
          <w:szCs w:val="24"/>
        </w:rPr>
        <w:t>, </w:t>
      </w:r>
      <w:r w:rsidRPr="00FD1F84">
        <w:rPr>
          <w:rFonts w:eastAsia="Times New Roman" w:cs="Times New Roman"/>
          <w:i/>
          <w:iCs/>
          <w:szCs w:val="24"/>
        </w:rPr>
        <w:t>13</w:t>
      </w:r>
      <w:r w:rsidRPr="00FD1F84">
        <w:rPr>
          <w:rFonts w:eastAsia="Times New Roman" w:cs="Times New Roman"/>
          <w:szCs w:val="24"/>
        </w:rPr>
        <w:t>(1), 65-71. </w:t>
      </w:r>
      <w:hyperlink r:id="rId6" w:history="1">
        <w:r w:rsidRPr="00FD1F84">
          <w:rPr>
            <w:rFonts w:eastAsia="Times New Roman" w:cs="Times New Roman"/>
            <w:szCs w:val="24"/>
          </w:rPr>
          <w:t>https://doi.org/10.1038/s41565-017-0013-y</w:t>
        </w:r>
      </w:hyperlink>
    </w:p>
    <w:p w:rsidR="00FD1F84" w:rsidRPr="00FD1F84" w:rsidRDefault="00FD1F84" w:rsidP="00FD1F84">
      <w:pPr>
        <w:shd w:val="clear" w:color="auto" w:fill="FFFFFF"/>
        <w:spacing w:after="0" w:line="550" w:lineRule="atLeast"/>
        <w:ind w:left="720" w:right="75" w:hanging="720"/>
        <w:rPr>
          <w:rFonts w:eastAsia="Times New Roman" w:cs="Times New Roman"/>
          <w:szCs w:val="24"/>
        </w:rPr>
      </w:pPr>
      <w:r w:rsidRPr="00FD1F84">
        <w:rPr>
          <w:rFonts w:eastAsia="Times New Roman" w:cs="Times New Roman"/>
          <w:szCs w:val="24"/>
        </w:rPr>
        <w:t>Pelz, H. J., &amp; Prescott, C. V. (2015). Resistance to anticoagulant rodenticides. </w:t>
      </w:r>
      <w:r w:rsidRPr="00FD1F84">
        <w:rPr>
          <w:rFonts w:eastAsia="Times New Roman" w:cs="Times New Roman"/>
          <w:i/>
          <w:iCs/>
          <w:szCs w:val="24"/>
        </w:rPr>
        <w:t>Rodent pests and their control</w:t>
      </w:r>
      <w:r w:rsidRPr="00FD1F84">
        <w:rPr>
          <w:rFonts w:eastAsia="Times New Roman" w:cs="Times New Roman"/>
          <w:szCs w:val="24"/>
        </w:rPr>
        <w:t>, 187-208. </w:t>
      </w:r>
      <w:hyperlink r:id="rId7" w:history="1">
        <w:r w:rsidRPr="00FD1F84">
          <w:rPr>
            <w:rFonts w:eastAsia="Times New Roman" w:cs="Times New Roman"/>
            <w:szCs w:val="24"/>
          </w:rPr>
          <w:t>https://doi.org/10.1079/9781845938178.0187</w:t>
        </w:r>
      </w:hyperlink>
    </w:p>
    <w:p w:rsidR="00FD1F84" w:rsidRPr="00FD1F84" w:rsidRDefault="00FD1F84" w:rsidP="006F47A6">
      <w:pPr>
        <w:rPr>
          <w:rFonts w:cs="Times New Roman"/>
          <w:szCs w:val="24"/>
        </w:rPr>
      </w:pPr>
    </w:p>
    <w:p w:rsidR="006F47A6" w:rsidRPr="00FD1F84" w:rsidRDefault="006F47A6" w:rsidP="00082D1C">
      <w:pPr>
        <w:jc w:val="center"/>
        <w:rPr>
          <w:rFonts w:cs="Times New Roman"/>
          <w:szCs w:val="24"/>
        </w:rPr>
      </w:pPr>
    </w:p>
    <w:sectPr w:rsidR="006F47A6" w:rsidRPr="00FD1F8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607E2" w:rsidRDefault="008607E2">
      <w:pPr>
        <w:spacing w:after="0" w:line="240" w:lineRule="auto"/>
      </w:pPr>
      <w:r>
        <w:separator/>
      </w:r>
    </w:p>
  </w:endnote>
  <w:endnote w:type="continuationSeparator" w:id="0">
    <w:p w:rsidR="008607E2" w:rsidRDefault="0086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607E2" w:rsidRDefault="008607E2">
      <w:pPr>
        <w:spacing w:after="0" w:line="240" w:lineRule="auto"/>
      </w:pPr>
      <w:r>
        <w:separator/>
      </w:r>
    </w:p>
  </w:footnote>
  <w:footnote w:type="continuationSeparator" w:id="0">
    <w:p w:rsidR="008607E2" w:rsidRDefault="00860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791164"/>
      <w:docPartObj>
        <w:docPartGallery w:val="Page Numbers (Top of Page)"/>
        <w:docPartUnique/>
      </w:docPartObj>
    </w:sdtPr>
    <w:sdtEndPr>
      <w:rPr>
        <w:noProof/>
      </w:rPr>
    </w:sdtEndPr>
    <w:sdtContent>
      <w:p w:rsidR="00082D1C" w:rsidRDefault="008607E2">
        <w:pPr>
          <w:pStyle w:val="Header"/>
          <w:jc w:val="right"/>
        </w:pPr>
        <w:r>
          <w:fldChar w:fldCharType="begin"/>
        </w:r>
        <w:r>
          <w:instrText xml:space="preserve"> PAGE   \* MERGEFORMAT </w:instrText>
        </w:r>
        <w:r>
          <w:fldChar w:fldCharType="separate"/>
        </w:r>
        <w:r w:rsidR="00FD1F84">
          <w:rPr>
            <w:noProof/>
          </w:rPr>
          <w:t>1</w:t>
        </w:r>
        <w:r>
          <w:rPr>
            <w:noProof/>
          </w:rPr>
          <w:fldChar w:fldCharType="end"/>
        </w:r>
      </w:p>
    </w:sdtContent>
  </w:sdt>
  <w:p w:rsidR="00082D1C" w:rsidRDefault="00082D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D1C"/>
    <w:rsid w:val="0000404F"/>
    <w:rsid w:val="00082D1C"/>
    <w:rsid w:val="000F166F"/>
    <w:rsid w:val="001C4CD1"/>
    <w:rsid w:val="001E69DF"/>
    <w:rsid w:val="002853EC"/>
    <w:rsid w:val="00323F97"/>
    <w:rsid w:val="006F47A6"/>
    <w:rsid w:val="007A3E1E"/>
    <w:rsid w:val="008607E2"/>
    <w:rsid w:val="00867861"/>
    <w:rsid w:val="008E2C11"/>
    <w:rsid w:val="009C3B55"/>
    <w:rsid w:val="00AA58D1"/>
    <w:rsid w:val="00B00F3D"/>
    <w:rsid w:val="00CA212C"/>
    <w:rsid w:val="00D54F00"/>
    <w:rsid w:val="00FC6244"/>
    <w:rsid w:val="00FD1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B0714-495F-40E8-9F61-49704F79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D1C"/>
  </w:style>
  <w:style w:type="paragraph" w:styleId="Footer">
    <w:name w:val="footer"/>
    <w:basedOn w:val="Normal"/>
    <w:link w:val="FooterChar"/>
    <w:uiPriority w:val="99"/>
    <w:unhideWhenUsed/>
    <w:rsid w:val="00082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D1C"/>
  </w:style>
  <w:style w:type="paragraph" w:styleId="NormalWeb">
    <w:name w:val="Normal (Web)"/>
    <w:basedOn w:val="Normal"/>
    <w:uiPriority w:val="99"/>
    <w:semiHidden/>
    <w:unhideWhenUsed/>
    <w:rsid w:val="00FD1F8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D1F84"/>
    <w:rPr>
      <w:i/>
      <w:iCs/>
    </w:rPr>
  </w:style>
  <w:style w:type="character" w:styleId="Hyperlink">
    <w:name w:val="Hyperlink"/>
    <w:basedOn w:val="DefaultParagraphFont"/>
    <w:uiPriority w:val="99"/>
    <w:semiHidden/>
    <w:unhideWhenUsed/>
    <w:rsid w:val="00FD1F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381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79/9781845938178.0187"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38/s41565-017-0013-y"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2021-02-04T22:56:00Z</dcterms:created>
  <dcterms:modified xsi:type="dcterms:W3CDTF">2021-02-04T22:56:00Z</dcterms:modified>
</cp:coreProperties>
</file>